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ED" w:rsidRDefault="00F347ED" w:rsidP="00F347E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INFORMATIVA</w:t>
      </w:r>
    </w:p>
    <w:p w:rsidR="00F347ED" w:rsidRDefault="00F347ED" w:rsidP="00F347E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</w:p>
    <w:p w:rsidR="00F347ED" w:rsidRPr="00F347ED" w:rsidRDefault="00F347ED" w:rsidP="00F347ED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/>
          <w:color w:val="333333"/>
          <w:sz w:val="27"/>
          <w:szCs w:val="27"/>
          <w:lang w:eastAsia="it-IT"/>
        </w:rPr>
      </w:pPr>
      <w:r w:rsidRPr="00F347ED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Riferimenti normativi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 istruzione parentale </w:t>
      </w:r>
      <w:r w:rsidRPr="00F347ED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:</w:t>
      </w:r>
    </w:p>
    <w:p w:rsidR="00F347ED" w:rsidRPr="00F347ED" w:rsidRDefault="009A0351" w:rsidP="00F347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tillium Web" w:eastAsia="Times New Roman" w:hAnsi="Titillium Web"/>
          <w:color w:val="333333"/>
          <w:sz w:val="27"/>
          <w:szCs w:val="27"/>
          <w:lang w:eastAsia="it-IT"/>
        </w:rPr>
      </w:pPr>
      <w:hyperlink r:id="rId7" w:history="1">
        <w:r w:rsidR="00F347ED" w:rsidRPr="00F347ED">
          <w:rPr>
            <w:rFonts w:ascii="Titillium Web" w:eastAsia="Times New Roman" w:hAnsi="Titillium Web"/>
            <w:color w:val="0066CC"/>
            <w:sz w:val="27"/>
            <w:szCs w:val="27"/>
            <w:u w:val="single"/>
            <w:lang w:eastAsia="it-IT"/>
          </w:rPr>
          <w:t>Costituzione, art.30</w:t>
        </w:r>
      </w:hyperlink>
      <w:r w:rsidR="00F347ED" w:rsidRPr="00F347ED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 </w:t>
      </w:r>
      <w:r w:rsidR="00F347ED" w:rsidRPr="00F347ED">
        <w:rPr>
          <w:rFonts w:ascii="Titillium Web" w:eastAsia="Times New Roman" w:hAnsi="Titillium Web"/>
          <w:color w:val="333333"/>
          <w:sz w:val="27"/>
          <w:szCs w:val="27"/>
          <w:lang w:eastAsia="it-IT"/>
        </w:rPr>
        <w:t>“è dovere e diritto dei genitori mantenere, istruire, educare i figli. Nei casi di incapacità dei genitori, la legge provvede a che siano assolti i loro compiti “.</w:t>
      </w:r>
    </w:p>
    <w:p w:rsidR="00F347ED" w:rsidRPr="00F347ED" w:rsidRDefault="009A0351" w:rsidP="00F347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tillium Web" w:eastAsia="Times New Roman" w:hAnsi="Titillium Web"/>
          <w:color w:val="333333"/>
          <w:sz w:val="27"/>
          <w:szCs w:val="27"/>
          <w:lang w:eastAsia="it-IT"/>
        </w:rPr>
      </w:pPr>
      <w:hyperlink r:id="rId8" w:history="1">
        <w:r w:rsidR="00F347ED" w:rsidRPr="00F347ED">
          <w:rPr>
            <w:rFonts w:ascii="Titillium Web" w:eastAsia="Times New Roman" w:hAnsi="Titillium Web"/>
            <w:color w:val="0066CC"/>
            <w:sz w:val="27"/>
            <w:szCs w:val="27"/>
            <w:u w:val="single"/>
            <w:lang w:eastAsia="it-IT"/>
          </w:rPr>
          <w:t>Costituzione, art. 34</w:t>
        </w:r>
      </w:hyperlink>
      <w:r w:rsidR="00F347ED" w:rsidRPr="00F347ED">
        <w:rPr>
          <w:rFonts w:ascii="Titillium Web" w:eastAsia="Times New Roman" w:hAnsi="Titillium Web"/>
          <w:color w:val="333333"/>
          <w:sz w:val="27"/>
          <w:szCs w:val="27"/>
          <w:lang w:eastAsia="it-IT"/>
        </w:rPr>
        <w:t> “l’istruzione inferiore, impartita per almeno 8 anni, è obbligatoria e gratuita”.</w:t>
      </w:r>
    </w:p>
    <w:p w:rsidR="00F347ED" w:rsidRPr="00F347ED" w:rsidRDefault="009A0351" w:rsidP="00F347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tillium Web" w:eastAsia="Times New Roman" w:hAnsi="Titillium Web"/>
          <w:color w:val="333333"/>
          <w:sz w:val="27"/>
          <w:szCs w:val="27"/>
          <w:lang w:eastAsia="it-IT"/>
        </w:rPr>
      </w:pPr>
      <w:hyperlink r:id="rId9" w:history="1">
        <w:r w:rsidR="00F347ED" w:rsidRPr="00F347ED">
          <w:rPr>
            <w:rFonts w:ascii="Titillium Web" w:eastAsia="Times New Roman" w:hAnsi="Titillium Web"/>
            <w:color w:val="0066CC"/>
            <w:sz w:val="27"/>
            <w:szCs w:val="27"/>
            <w:u w:val="single"/>
            <w:lang w:eastAsia="it-IT"/>
          </w:rPr>
          <w:t>Legge 5 febbraio 1992, n. 104, art. 12 comma 9</w:t>
        </w:r>
      </w:hyperlink>
      <w:r w:rsidR="00F347ED" w:rsidRPr="00F347ED">
        <w:rPr>
          <w:rFonts w:ascii="Titillium Web" w:eastAsia="Times New Roman" w:hAnsi="Titillium Web"/>
          <w:color w:val="333333"/>
          <w:sz w:val="27"/>
          <w:szCs w:val="27"/>
          <w:lang w:eastAsia="it-IT"/>
        </w:rPr>
        <w:t> Ai minori handicappati soggetti all'obbligo scolastico, temporaneamente impediti per motivi di salute a frequentare la scuola, sono comunque garantite l'educazione e l'istruzione scolastica.</w:t>
      </w:r>
    </w:p>
    <w:p w:rsidR="00F347ED" w:rsidRPr="00F347ED" w:rsidRDefault="009A0351" w:rsidP="00F347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tillium Web" w:eastAsia="Times New Roman" w:hAnsi="Titillium Web"/>
          <w:color w:val="333333"/>
          <w:sz w:val="27"/>
          <w:szCs w:val="27"/>
          <w:lang w:eastAsia="it-IT"/>
        </w:rPr>
      </w:pPr>
      <w:hyperlink r:id="rId10" w:history="1">
        <w:r w:rsidR="00F347ED" w:rsidRPr="00F347ED">
          <w:rPr>
            <w:rFonts w:ascii="Titillium Web" w:eastAsia="Times New Roman" w:hAnsi="Titillium Web"/>
            <w:color w:val="0066CC"/>
            <w:sz w:val="27"/>
            <w:szCs w:val="27"/>
            <w:u w:val="single"/>
            <w:lang w:eastAsia="it-IT"/>
          </w:rPr>
          <w:t>Decreto legislativo 16 aprile 1994, n.297, art 111 comma 2</w:t>
        </w:r>
      </w:hyperlink>
      <w:r w:rsidR="00F347ED" w:rsidRPr="00F347ED">
        <w:rPr>
          <w:rFonts w:ascii="Titillium Web" w:eastAsia="Times New Roman" w:hAnsi="Titillium Web"/>
          <w:color w:val="333333"/>
          <w:sz w:val="27"/>
          <w:szCs w:val="27"/>
          <w:lang w:eastAsia="it-IT"/>
        </w:rPr>
        <w:t>: I genitori dell’obbligato o chi ne fa le veci che intendano provvedere privatamente o direttamente all’istruzione dell’obbligato devono dimostrare di averne la capacità tecnica od economica e darne comunicazione anno per anno alla competente autorità.”</w:t>
      </w:r>
    </w:p>
    <w:p w:rsidR="00F347ED" w:rsidRPr="00F347ED" w:rsidRDefault="009A0351" w:rsidP="00F347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tillium Web" w:eastAsia="Times New Roman" w:hAnsi="Titillium Web"/>
          <w:color w:val="333333"/>
          <w:sz w:val="27"/>
          <w:szCs w:val="27"/>
          <w:lang w:eastAsia="it-IT"/>
        </w:rPr>
      </w:pPr>
      <w:hyperlink r:id="rId11" w:history="1">
        <w:r w:rsidR="00F347ED" w:rsidRPr="00F347ED">
          <w:rPr>
            <w:rFonts w:ascii="Titillium Web" w:eastAsia="Times New Roman" w:hAnsi="Titillium Web"/>
            <w:color w:val="0066CC"/>
            <w:sz w:val="27"/>
            <w:szCs w:val="27"/>
            <w:u w:val="single"/>
            <w:lang w:eastAsia="it-IT"/>
          </w:rPr>
          <w:t>Decreto Ministeriale 13 dicembre 2001, n.489, art. 2 comma 1</w:t>
        </w:r>
      </w:hyperlink>
      <w:r w:rsidR="00F347ED" w:rsidRPr="00F347ED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 “</w:t>
      </w:r>
      <w:r w:rsidR="00F347ED" w:rsidRPr="00F347ED">
        <w:rPr>
          <w:rFonts w:ascii="Titillium Web" w:eastAsia="Times New Roman" w:hAnsi="Titillium Web"/>
          <w:color w:val="333333"/>
          <w:sz w:val="27"/>
          <w:szCs w:val="27"/>
          <w:lang w:eastAsia="it-IT"/>
        </w:rPr>
        <w:t>Alla vigilanza sull'adempimento dell'obbligo di istruzione provvedono secondo quanto previsto dal presente regolamento:</w:t>
      </w:r>
      <w:r w:rsidR="00F347ED" w:rsidRPr="00F347ED">
        <w:rPr>
          <w:rFonts w:ascii="Titillium Web" w:eastAsia="Times New Roman" w:hAnsi="Titillium Web"/>
          <w:color w:val="333333"/>
          <w:sz w:val="27"/>
          <w:szCs w:val="27"/>
          <w:lang w:eastAsia="it-IT"/>
        </w:rPr>
        <w:br/>
        <w:t>a) il sindaco, o un suo delegato, del comune ove hanno la residenza i giovani soggetti al predetto obbligo di istruzione;</w:t>
      </w:r>
      <w:r w:rsidR="00F347ED" w:rsidRPr="00F347ED">
        <w:rPr>
          <w:rFonts w:ascii="Titillium Web" w:eastAsia="Times New Roman" w:hAnsi="Titillium Web"/>
          <w:color w:val="333333"/>
          <w:sz w:val="27"/>
          <w:szCs w:val="27"/>
          <w:lang w:eastAsia="it-IT"/>
        </w:rPr>
        <w:br/>
        <w:t>b) i dirigenti scolastici delle scuole di ogni ordine e grado statali, paritarie presso le quali sono iscritti, o hanno fatto richiesta di</w:t>
      </w:r>
      <w:r w:rsidR="00F347ED">
        <w:rPr>
          <w:rFonts w:ascii="Titillium Web" w:eastAsia="Times New Roman" w:hAnsi="Titillium Web"/>
          <w:color w:val="333333"/>
          <w:sz w:val="27"/>
          <w:szCs w:val="27"/>
          <w:lang w:eastAsia="it-IT"/>
        </w:rPr>
        <w:t xml:space="preserve"> iscrizione, gli studenti cui è</w:t>
      </w:r>
      <w:r w:rsidR="00F347ED" w:rsidRPr="00F347ED">
        <w:rPr>
          <w:rFonts w:ascii="Titillium Web" w:eastAsia="Times New Roman" w:hAnsi="Titillium Web"/>
          <w:color w:val="333333"/>
          <w:sz w:val="27"/>
          <w:szCs w:val="27"/>
          <w:lang w:eastAsia="it-IT"/>
        </w:rPr>
        <w:t xml:space="preserve"> rivolto l'obbligo di istruzione”.</w:t>
      </w:r>
    </w:p>
    <w:p w:rsidR="00F347ED" w:rsidRPr="00F347ED" w:rsidRDefault="009A0351" w:rsidP="00F347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tillium Web" w:eastAsia="Times New Roman" w:hAnsi="Titillium Web"/>
          <w:color w:val="333333"/>
          <w:sz w:val="27"/>
          <w:szCs w:val="27"/>
          <w:lang w:eastAsia="it-IT"/>
        </w:rPr>
      </w:pPr>
      <w:hyperlink r:id="rId12" w:history="1">
        <w:r w:rsidR="00F347ED" w:rsidRPr="00F347ED">
          <w:rPr>
            <w:rFonts w:ascii="Titillium Web" w:eastAsia="Times New Roman" w:hAnsi="Titillium Web"/>
            <w:color w:val="0066CC"/>
            <w:sz w:val="27"/>
            <w:szCs w:val="27"/>
            <w:u w:val="single"/>
            <w:lang w:eastAsia="it-IT"/>
          </w:rPr>
          <w:t>Decreto legislativo 25 aprile 2005, n. 76, art 1, comma 4</w:t>
        </w:r>
      </w:hyperlink>
      <w:r w:rsidR="00F347ED" w:rsidRPr="00F347ED">
        <w:rPr>
          <w:rFonts w:ascii="Titillium Web" w:eastAsia="Times New Roman" w:hAnsi="Titillium Web"/>
          <w:color w:val="333333"/>
          <w:sz w:val="27"/>
          <w:szCs w:val="27"/>
          <w:lang w:eastAsia="it-IT"/>
        </w:rPr>
        <w:t xml:space="preserve">: Le famiglie che – al fine di garantire l’assolvimento dell’obbligo di istruzione – intendano provvedere in proprio alla istruzione dei minori soggetti all’obbligo, devono, mostrare di averne la capacità tecnica o economica e darne comunicazione anno per anno alla competente autorità, che provvede agli opportuni controlli”. </w:t>
      </w:r>
      <w:hyperlink r:id="rId13" w:history="1">
        <w:r w:rsidR="00F347ED" w:rsidRPr="00F347ED">
          <w:rPr>
            <w:rFonts w:ascii="Titillium Web" w:eastAsia="Times New Roman" w:hAnsi="Titillium Web"/>
            <w:color w:val="0066CC"/>
            <w:sz w:val="27"/>
            <w:szCs w:val="27"/>
            <w:u w:val="single"/>
            <w:lang w:eastAsia="it-IT"/>
          </w:rPr>
          <w:t>Legge 27 dicembre 2006, n. 296</w:t>
        </w:r>
      </w:hyperlink>
      <w:r w:rsidR="00F347ED" w:rsidRPr="00F347ED">
        <w:rPr>
          <w:rFonts w:ascii="Titillium Web" w:eastAsia="Times New Roman" w:hAnsi="Titillium Web"/>
          <w:color w:val="333333"/>
          <w:sz w:val="27"/>
          <w:szCs w:val="27"/>
          <w:lang w:eastAsia="it-IT"/>
        </w:rPr>
        <w:t>, articolo 1, comma 622: “L’istruzione impartita per almeno dieci anni è obbligatoria ed è finalizzata a consentire il conseguimento di un titolo di studio di scuola secondaria superiore o di una qualifica professionale di durata almeno triennale entro il diciottesimo anno d’età “.</w:t>
      </w:r>
    </w:p>
    <w:p w:rsidR="00F347ED" w:rsidRPr="00F347ED" w:rsidRDefault="009A0351" w:rsidP="00F347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tillium Web" w:eastAsia="Times New Roman" w:hAnsi="Titillium Web"/>
          <w:color w:val="333333"/>
          <w:sz w:val="27"/>
          <w:szCs w:val="27"/>
          <w:lang w:eastAsia="it-IT"/>
        </w:rPr>
      </w:pPr>
      <w:hyperlink r:id="rId14" w:history="1">
        <w:r w:rsidR="00F347ED" w:rsidRPr="00F347ED">
          <w:rPr>
            <w:rFonts w:ascii="Titillium Web" w:eastAsia="Times New Roman" w:hAnsi="Titillium Web"/>
            <w:color w:val="0066CC"/>
            <w:sz w:val="27"/>
            <w:szCs w:val="27"/>
            <w:u w:val="single"/>
            <w:lang w:eastAsia="it-IT"/>
          </w:rPr>
          <w:t>Decreto legislativo 13 aprile 2017 n. 62 art.23</w:t>
        </w:r>
      </w:hyperlink>
      <w:r w:rsidR="00F347ED" w:rsidRPr="00F347ED">
        <w:rPr>
          <w:rFonts w:ascii="Titillium Web" w:eastAsia="Times New Roman" w:hAnsi="Titillium Web"/>
          <w:color w:val="333333"/>
          <w:sz w:val="27"/>
          <w:szCs w:val="27"/>
          <w:lang w:eastAsia="it-IT"/>
        </w:rPr>
        <w:t> " In caso di istruzione parentale, i genitori dell’alunna o dell’alunno, della studentessa o dello studente, ovvero coloro c</w:t>
      </w:r>
      <w:r w:rsidR="00F347ED">
        <w:rPr>
          <w:rFonts w:ascii="Titillium Web" w:eastAsia="Times New Roman" w:hAnsi="Titillium Web"/>
          <w:color w:val="333333"/>
          <w:sz w:val="27"/>
          <w:szCs w:val="27"/>
          <w:lang w:eastAsia="it-IT"/>
        </w:rPr>
        <w:t>he esercitano la responsabilità</w:t>
      </w:r>
      <w:r w:rsidR="00F347ED" w:rsidRPr="00F347ED">
        <w:rPr>
          <w:rFonts w:ascii="Titillium Web" w:eastAsia="Times New Roman" w:hAnsi="Titillium Web"/>
          <w:color w:val="333333"/>
          <w:sz w:val="27"/>
          <w:szCs w:val="27"/>
          <w:lang w:eastAsia="it-IT"/>
        </w:rPr>
        <w:t xml:space="preserve"> genitoriale, sono tenuti a presentare annualmente la comunicazione preventiva al dirigente  scolastico  del territorio di residenza. Tali  alunni o studenti sostengono </w:t>
      </w:r>
      <w:r w:rsidR="00F347ED">
        <w:rPr>
          <w:rFonts w:ascii="Titillium Web" w:eastAsia="Times New Roman" w:hAnsi="Titillium Web"/>
          <w:color w:val="333333"/>
          <w:sz w:val="27"/>
          <w:szCs w:val="27"/>
          <w:lang w:eastAsia="it-IT"/>
        </w:rPr>
        <w:t>annualmente l’esame di idoneità</w:t>
      </w:r>
      <w:r w:rsidR="00F347ED" w:rsidRPr="00F347ED">
        <w:rPr>
          <w:rFonts w:ascii="Titillium Web" w:eastAsia="Times New Roman" w:hAnsi="Titillium Web"/>
          <w:color w:val="333333"/>
          <w:sz w:val="27"/>
          <w:szCs w:val="27"/>
          <w:lang w:eastAsia="it-IT"/>
        </w:rPr>
        <w:t xml:space="preserve"> per il passaggio al</w:t>
      </w:r>
      <w:r w:rsidR="00F347ED">
        <w:rPr>
          <w:rFonts w:ascii="Titillium Web" w:eastAsia="Times New Roman" w:hAnsi="Titillium Web"/>
          <w:color w:val="333333"/>
          <w:sz w:val="27"/>
          <w:szCs w:val="27"/>
          <w:lang w:eastAsia="it-IT"/>
        </w:rPr>
        <w:t>la classe successiva in qualità</w:t>
      </w:r>
      <w:r w:rsidR="00F347ED" w:rsidRPr="00F347ED">
        <w:rPr>
          <w:rFonts w:ascii="Titillium Web" w:eastAsia="Times New Roman" w:hAnsi="Titillium Web"/>
          <w:color w:val="333333"/>
          <w:sz w:val="27"/>
          <w:szCs w:val="27"/>
          <w:lang w:eastAsia="it-IT"/>
        </w:rPr>
        <w:t xml:space="preserve"> di candidati esterni presso una scuola statale o paritaria, fino all’assolvimento dell’obbligo di istruzione.</w:t>
      </w:r>
    </w:p>
    <w:p w:rsidR="0007632E" w:rsidRDefault="0007632E" w:rsidP="00F347ED">
      <w:pPr>
        <w:jc w:val="both"/>
      </w:pPr>
    </w:p>
    <w:sectPr w:rsidR="0007632E" w:rsidSect="006231B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A5F" w:rsidRDefault="000F6A5F" w:rsidP="000F6A5F">
      <w:pPr>
        <w:spacing w:after="0" w:line="240" w:lineRule="auto"/>
      </w:pPr>
      <w:r>
        <w:separator/>
      </w:r>
    </w:p>
  </w:endnote>
  <w:endnote w:type="continuationSeparator" w:id="0">
    <w:p w:rsidR="000F6A5F" w:rsidRDefault="000F6A5F" w:rsidP="000F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5F" w:rsidRDefault="000F6A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5F" w:rsidRDefault="000F6A5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5F" w:rsidRDefault="000F6A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A5F" w:rsidRDefault="000F6A5F" w:rsidP="000F6A5F">
      <w:pPr>
        <w:spacing w:after="0" w:line="240" w:lineRule="auto"/>
      </w:pPr>
      <w:r>
        <w:separator/>
      </w:r>
    </w:p>
  </w:footnote>
  <w:footnote w:type="continuationSeparator" w:id="0">
    <w:p w:rsidR="000F6A5F" w:rsidRDefault="000F6A5F" w:rsidP="000F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5F" w:rsidRDefault="000F6A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284"/>
      <w:gridCol w:w="3286"/>
      <w:gridCol w:w="3284"/>
    </w:tblGrid>
    <w:tr w:rsidR="000F6A5F" w:rsidRPr="0026539A" w:rsidTr="00E924AC">
      <w:tc>
        <w:tcPr>
          <w:tcW w:w="3307" w:type="dxa"/>
        </w:tcPr>
        <w:p w:rsidR="000F6A5F" w:rsidRPr="0026539A" w:rsidRDefault="000F6A5F" w:rsidP="00E924AC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102870</wp:posOffset>
                </wp:positionV>
                <wp:extent cx="490220" cy="370205"/>
                <wp:effectExtent l="19050" t="0" r="5080" b="0"/>
                <wp:wrapSquare wrapText="bothSides"/>
                <wp:docPr id="4" name="Immagine 1" descr="Risultati immagini per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220" cy="370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07" w:type="dxa"/>
        </w:tcPr>
        <w:p w:rsidR="000F6A5F" w:rsidRPr="0026539A" w:rsidRDefault="000F6A5F" w:rsidP="00E924AC">
          <w:pPr>
            <w:pStyle w:val="Pidipagina"/>
            <w:jc w:val="center"/>
            <w:rPr>
              <w:rFonts w:ascii="Times New Roman" w:hAnsi="Times New Roman"/>
              <w:sz w:val="12"/>
              <w:szCs w:val="12"/>
            </w:rPr>
          </w:pPr>
          <w:r>
            <w:rPr>
              <w:b/>
              <w:i/>
              <w:noProof/>
              <w:sz w:val="20"/>
              <w:lang w:eastAsia="it-IT"/>
            </w:rPr>
            <w:drawing>
              <wp:inline distT="0" distB="0" distL="0" distR="0">
                <wp:extent cx="560705" cy="637540"/>
                <wp:effectExtent l="19050" t="0" r="0" b="0"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7" w:type="dxa"/>
        </w:tcPr>
        <w:p w:rsidR="000F6A5F" w:rsidRPr="0026539A" w:rsidRDefault="000F6A5F" w:rsidP="00E924AC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53340</wp:posOffset>
                </wp:positionV>
                <wp:extent cx="462280" cy="511175"/>
                <wp:effectExtent l="19050" t="0" r="0" b="0"/>
                <wp:wrapSquare wrapText="bothSides"/>
                <wp:docPr id="6" name="Immagine 2" descr="Risultati immagini per logo regione sardeg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sultati immagini per logo regione sardeg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280" cy="511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0F6A5F" w:rsidRDefault="000F6A5F" w:rsidP="000F6A5F">
    <w:pPr>
      <w:spacing w:after="0" w:line="240" w:lineRule="auto"/>
      <w:jc w:val="center"/>
      <w:rPr>
        <w:rFonts w:ascii="Palatino Linotype" w:hAnsi="Palatino Linotype" w:cs="Tahoma"/>
        <w:b/>
        <w:sz w:val="28"/>
        <w:szCs w:val="28"/>
      </w:rPr>
    </w:pPr>
    <w:r>
      <w:rPr>
        <w:rFonts w:ascii="Palatino Linotype" w:hAnsi="Palatino Linotype" w:cs="Tahoma"/>
        <w:b/>
        <w:noProof/>
        <w:sz w:val="28"/>
        <w:szCs w:val="28"/>
      </w:rPr>
      <w:t>Ministero dell'Istruzione, dell'Università e della Ricerca</w:t>
    </w:r>
  </w:p>
  <w:p w:rsidR="000F6A5F" w:rsidRDefault="000F6A5F" w:rsidP="000F6A5F">
    <w:pPr>
      <w:spacing w:after="0" w:line="240" w:lineRule="auto"/>
      <w:jc w:val="center"/>
      <w:outlineLvl w:val="0"/>
      <w:rPr>
        <w:rFonts w:ascii="Constantia" w:hAnsi="Constantia" w:cs="Tahoma"/>
        <w:sz w:val="20"/>
        <w:szCs w:val="20"/>
      </w:rPr>
    </w:pPr>
    <w:r>
      <w:rPr>
        <w:rFonts w:ascii="Constantia" w:hAnsi="Constantia" w:cs="Tahoma"/>
        <w:sz w:val="20"/>
        <w:szCs w:val="20"/>
      </w:rPr>
      <w:t xml:space="preserve">UFFICIO SCOLASTICO REGIONALE PER </w:t>
    </w:r>
    <w:r>
      <w:rPr>
        <w:rFonts w:ascii="Constantia" w:hAnsi="Constantia" w:cs="Tahoma"/>
        <w:noProof/>
        <w:sz w:val="20"/>
        <w:szCs w:val="20"/>
      </w:rPr>
      <w:t>LA SARDEGNA</w:t>
    </w:r>
  </w:p>
  <w:p w:rsidR="000F6A5F" w:rsidRDefault="000F6A5F" w:rsidP="000F6A5F">
    <w:pPr>
      <w:spacing w:after="0" w:line="240" w:lineRule="auto"/>
      <w:jc w:val="center"/>
      <w:outlineLvl w:val="0"/>
      <w:rPr>
        <w:rFonts w:ascii="Garamond" w:hAnsi="Garamond" w:cs="Tahoma"/>
      </w:rPr>
    </w:pPr>
    <w:r>
      <w:rPr>
        <w:rFonts w:ascii="Garamond" w:hAnsi="Garamond" w:cs="Tahoma"/>
      </w:rPr>
      <w:t xml:space="preserve"> 1° CIRCOLO DIDATTICO </w:t>
    </w:r>
    <w:r>
      <w:rPr>
        <w:rFonts w:ascii="Garamond" w:hAnsi="Garamond" w:cs="Tahoma"/>
        <w:noProof/>
      </w:rPr>
      <w:t>OLBIA</w:t>
    </w:r>
  </w:p>
  <w:p w:rsidR="000F6A5F" w:rsidRDefault="000F6A5F" w:rsidP="000F6A5F">
    <w:pPr>
      <w:spacing w:after="0" w:line="240" w:lineRule="auto"/>
      <w:jc w:val="center"/>
      <w:outlineLvl w:val="0"/>
      <w:rPr>
        <w:rFonts w:ascii="Palatino Linotype" w:hAnsi="Palatino Linotype" w:cs="Tahoma"/>
        <w:sz w:val="16"/>
        <w:szCs w:val="16"/>
      </w:rPr>
    </w:pPr>
    <w:r>
      <w:rPr>
        <w:rFonts w:ascii="Palatino Linotype" w:hAnsi="Palatino Linotype" w:cs="Tahoma"/>
        <w:noProof/>
        <w:sz w:val="16"/>
        <w:szCs w:val="16"/>
      </w:rPr>
      <w:t>Via Alessandro Nanni, 13</w:t>
    </w:r>
    <w:r>
      <w:rPr>
        <w:rFonts w:ascii="Palatino Linotype" w:hAnsi="Palatino Linotype" w:cs="Tahoma"/>
        <w:sz w:val="16"/>
        <w:szCs w:val="16"/>
      </w:rPr>
      <w:t xml:space="preserve"> - </w:t>
    </w:r>
    <w:r>
      <w:rPr>
        <w:rFonts w:ascii="Palatino Linotype" w:hAnsi="Palatino Linotype" w:cs="Tahoma"/>
        <w:noProof/>
        <w:sz w:val="16"/>
        <w:szCs w:val="16"/>
      </w:rPr>
      <w:t>07026</w:t>
    </w:r>
    <w:r>
      <w:rPr>
        <w:rFonts w:ascii="Palatino Linotype" w:hAnsi="Palatino Linotype" w:cs="Tahoma"/>
        <w:sz w:val="16"/>
        <w:szCs w:val="16"/>
      </w:rPr>
      <w:t xml:space="preserve"> </w:t>
    </w:r>
    <w:r>
      <w:rPr>
        <w:rFonts w:ascii="Palatino Linotype" w:hAnsi="Palatino Linotype" w:cs="Tahoma"/>
        <w:noProof/>
        <w:sz w:val="16"/>
        <w:szCs w:val="16"/>
      </w:rPr>
      <w:t>OLBIA</w:t>
    </w:r>
    <w:r>
      <w:rPr>
        <w:rFonts w:ascii="Palatino Linotype" w:hAnsi="Palatino Linotype" w:cs="Tahoma"/>
        <w:sz w:val="16"/>
        <w:szCs w:val="16"/>
      </w:rPr>
      <w:t xml:space="preserve"> (</w:t>
    </w:r>
    <w:r>
      <w:rPr>
        <w:rFonts w:ascii="Palatino Linotype" w:hAnsi="Palatino Linotype" w:cs="Tahoma"/>
        <w:noProof/>
        <w:sz w:val="16"/>
        <w:szCs w:val="16"/>
      </w:rPr>
      <w:t>SS</w:t>
    </w:r>
    <w:r>
      <w:rPr>
        <w:rFonts w:ascii="Palatino Linotype" w:hAnsi="Palatino Linotype" w:cs="Tahoma"/>
        <w:sz w:val="16"/>
        <w:szCs w:val="16"/>
      </w:rPr>
      <w:t xml:space="preserve">) </w:t>
    </w:r>
  </w:p>
  <w:p w:rsidR="000F6A5F" w:rsidRDefault="000F6A5F" w:rsidP="000F6A5F">
    <w:pPr>
      <w:spacing w:after="0" w:line="240" w:lineRule="auto"/>
      <w:jc w:val="center"/>
      <w:outlineLvl w:val="0"/>
      <w:rPr>
        <w:rFonts w:ascii="Palatino Linotype" w:hAnsi="Palatino Linotype" w:cs="Tahoma"/>
        <w:noProof/>
        <w:sz w:val="16"/>
        <w:szCs w:val="16"/>
      </w:rPr>
    </w:pPr>
    <w:r>
      <w:rPr>
        <w:rFonts w:ascii="Palatino Linotype" w:hAnsi="Palatino Linotype" w:cs="Tahoma"/>
        <w:sz w:val="16"/>
        <w:szCs w:val="16"/>
      </w:rPr>
      <w:t xml:space="preserve">Tel. </w:t>
    </w:r>
    <w:r>
      <w:rPr>
        <w:rFonts w:ascii="Palatino Linotype" w:hAnsi="Palatino Linotype" w:cs="Tahoma"/>
        <w:noProof/>
        <w:sz w:val="16"/>
        <w:szCs w:val="16"/>
      </w:rPr>
      <w:t>0789 25.893</w:t>
    </w:r>
    <w:r>
      <w:rPr>
        <w:rFonts w:ascii="Palatino Linotype" w:hAnsi="Palatino Linotype" w:cs="Tahoma"/>
        <w:sz w:val="16"/>
        <w:szCs w:val="16"/>
      </w:rPr>
      <w:t xml:space="preserve">  Fax. </w:t>
    </w:r>
    <w:r>
      <w:rPr>
        <w:rFonts w:ascii="Palatino Linotype" w:hAnsi="Palatino Linotype" w:cs="Tahoma"/>
        <w:noProof/>
        <w:sz w:val="16"/>
        <w:szCs w:val="16"/>
      </w:rPr>
      <w:t>0789 25.893</w:t>
    </w:r>
    <w:r>
      <w:rPr>
        <w:rFonts w:ascii="Palatino Linotype" w:hAnsi="Palatino Linotype" w:cs="Tahoma"/>
        <w:sz w:val="16"/>
        <w:szCs w:val="16"/>
      </w:rPr>
      <w:t xml:space="preserve">  - Codice Fiscale: </w:t>
    </w:r>
    <w:r>
      <w:rPr>
        <w:rFonts w:ascii="Palatino Linotype" w:hAnsi="Palatino Linotype" w:cs="Tahoma"/>
        <w:noProof/>
        <w:sz w:val="16"/>
        <w:szCs w:val="16"/>
      </w:rPr>
      <w:t>91025030908</w:t>
    </w:r>
    <w:r>
      <w:rPr>
        <w:rFonts w:ascii="Palatino Linotype" w:hAnsi="Palatino Linotype" w:cs="Tahoma"/>
        <w:sz w:val="16"/>
        <w:szCs w:val="16"/>
      </w:rPr>
      <w:t xml:space="preserve"> Codice Meccanografico: </w:t>
    </w:r>
    <w:r>
      <w:rPr>
        <w:rFonts w:ascii="Palatino Linotype" w:hAnsi="Palatino Linotype" w:cs="Tahoma"/>
        <w:noProof/>
        <w:sz w:val="16"/>
        <w:szCs w:val="16"/>
      </w:rPr>
      <w:t>SSEE02500B</w:t>
    </w:r>
  </w:p>
  <w:p w:rsidR="000F6A5F" w:rsidRDefault="000F6A5F" w:rsidP="000F6A5F">
    <w:pPr>
      <w:spacing w:after="0" w:line="240" w:lineRule="auto"/>
      <w:jc w:val="center"/>
      <w:outlineLvl w:val="0"/>
      <w:rPr>
        <w:rFonts w:ascii="Palatino Linotype" w:hAnsi="Palatino Linotype" w:cs="Tahoma"/>
        <w:sz w:val="16"/>
        <w:szCs w:val="16"/>
      </w:rPr>
    </w:pPr>
    <w:r>
      <w:rPr>
        <w:rFonts w:ascii="Palatino Linotype" w:hAnsi="Palatino Linotype" w:cs="Tahoma"/>
        <w:sz w:val="16"/>
        <w:szCs w:val="16"/>
      </w:rPr>
      <w:t>m</w:t>
    </w:r>
    <w:r w:rsidRPr="00465407">
      <w:rPr>
        <w:rFonts w:ascii="Palatino Linotype" w:hAnsi="Palatino Linotype" w:cs="Tahoma"/>
        <w:sz w:val="16"/>
        <w:szCs w:val="16"/>
      </w:rPr>
      <w:t xml:space="preserve">ail: </w:t>
    </w:r>
    <w:r w:rsidRPr="003A6050">
      <w:rPr>
        <w:rFonts w:ascii="Palatino Linotype" w:hAnsi="Palatino Linotype" w:cs="Tahoma"/>
        <w:sz w:val="16"/>
        <w:szCs w:val="16"/>
      </w:rPr>
      <w:t>ssee02500b@istruzione.it</w:t>
    </w:r>
    <w:r>
      <w:rPr>
        <w:rFonts w:ascii="Palatino Linotype" w:hAnsi="Palatino Linotype" w:cs="Tahoma"/>
        <w:sz w:val="16"/>
        <w:szCs w:val="16"/>
      </w:rPr>
      <w:t xml:space="preserve"> pec: </w:t>
    </w:r>
    <w:r w:rsidRPr="00FA3630">
      <w:rPr>
        <w:rFonts w:ascii="Palatino Linotype" w:hAnsi="Palatino Linotype" w:cs="Tahoma"/>
        <w:sz w:val="16"/>
        <w:szCs w:val="16"/>
      </w:rPr>
      <w:t>ssee02500b@pec.istruzione.it</w:t>
    </w:r>
  </w:p>
  <w:p w:rsidR="000F6A5F" w:rsidRDefault="000F6A5F" w:rsidP="000F6A5F">
    <w:pPr>
      <w:spacing w:after="0" w:line="240" w:lineRule="auto"/>
      <w:jc w:val="center"/>
      <w:outlineLvl w:val="0"/>
    </w:pPr>
    <w:r w:rsidRPr="00FA3630">
      <w:rPr>
        <w:rFonts w:ascii="Palatino Linotype" w:hAnsi="Palatino Linotype" w:cs="Tahoma"/>
        <w:sz w:val="16"/>
        <w:szCs w:val="16"/>
      </w:rPr>
      <w:t>https:/</w:t>
    </w:r>
    <w:r>
      <w:rPr>
        <w:rFonts w:ascii="Palatino Linotype" w:hAnsi="Palatino Linotype" w:cs="Tahoma"/>
        <w:sz w:val="16"/>
        <w:szCs w:val="16"/>
      </w:rPr>
      <w:t>/www.ddprimocircoloolbia.edu.it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5F" w:rsidRDefault="000F6A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6293"/>
    <w:multiLevelType w:val="multilevel"/>
    <w:tmpl w:val="BA82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7ED"/>
    <w:rsid w:val="0007632E"/>
    <w:rsid w:val="000F6A5F"/>
    <w:rsid w:val="002434A8"/>
    <w:rsid w:val="006231B1"/>
    <w:rsid w:val="00675658"/>
    <w:rsid w:val="009A0351"/>
    <w:rsid w:val="00D34018"/>
    <w:rsid w:val="00F3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1B1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F6A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6A5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F6A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6A5F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A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erno.it/it/costituzione-italiana/principi-fondamentali/2839" TargetMode="External"/><Relationship Id="rId13" Type="http://schemas.openxmlformats.org/officeDocument/2006/relationships/hyperlink" Target="http://www.parlamento.it/parlam/leggi/06296l.ht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verno.it/it/costituzione-italiana/principi-fondamentali/2839" TargetMode="External"/><Relationship Id="rId12" Type="http://schemas.openxmlformats.org/officeDocument/2006/relationships/hyperlink" Target="https://www.gazzettaufficiale.it/atto/serie_generale/caricaDettaglioAtto/originario?atto.dataPubblicazioneGazzetta=2005-05-05&amp;atto.codiceRedazionale=005G0100&amp;elenco30giorni=fals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chivio.pubblica.istruzione.it/normativa/2001/dm489_01.s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iur.gov.it/documents/20182/21192/Decreto+legislativo+297+del+1994/377c571e-be98-44c6-8b19-8ff786f4c92b?version=1.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archivio.pubblica.istruzione.it/news/2006/allegati/legge104_92.pdf" TargetMode="External"/><Relationship Id="rId14" Type="http://schemas.openxmlformats.org/officeDocument/2006/relationships/hyperlink" Target="https://www.gazzettaufficiale.it/eli/id/2017/05/16/17G00070/sg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Links>
    <vt:vector size="48" baseType="variant">
      <vt:variant>
        <vt:i4>7012394</vt:i4>
      </vt:variant>
      <vt:variant>
        <vt:i4>21</vt:i4>
      </vt:variant>
      <vt:variant>
        <vt:i4>0</vt:i4>
      </vt:variant>
      <vt:variant>
        <vt:i4>5</vt:i4>
      </vt:variant>
      <vt:variant>
        <vt:lpwstr>https://www.gazzettaufficiale.it/eli/id/2017/05/16/17G00070/sg</vt:lpwstr>
      </vt:variant>
      <vt:variant>
        <vt:lpwstr/>
      </vt:variant>
      <vt:variant>
        <vt:i4>262171</vt:i4>
      </vt:variant>
      <vt:variant>
        <vt:i4>18</vt:i4>
      </vt:variant>
      <vt:variant>
        <vt:i4>0</vt:i4>
      </vt:variant>
      <vt:variant>
        <vt:i4>5</vt:i4>
      </vt:variant>
      <vt:variant>
        <vt:lpwstr>http://www.parlamento.it/parlam/leggi/06296l.htm</vt:lpwstr>
      </vt:variant>
      <vt:variant>
        <vt:lpwstr/>
      </vt:variant>
      <vt:variant>
        <vt:i4>4653161</vt:i4>
      </vt:variant>
      <vt:variant>
        <vt:i4>15</vt:i4>
      </vt:variant>
      <vt:variant>
        <vt:i4>0</vt:i4>
      </vt:variant>
      <vt:variant>
        <vt:i4>5</vt:i4>
      </vt:variant>
      <vt:variant>
        <vt:lpwstr>https://www.gazzettaufficiale.it/atto/serie_generale/caricaDettaglioAtto/originario?atto.dataPubblicazioneGazzetta=2005-05-05&amp;atto.codiceRedazionale=005G0100&amp;elenco30giorni=false</vt:lpwstr>
      </vt:variant>
      <vt:variant>
        <vt:lpwstr/>
      </vt:variant>
      <vt:variant>
        <vt:i4>4849698</vt:i4>
      </vt:variant>
      <vt:variant>
        <vt:i4>12</vt:i4>
      </vt:variant>
      <vt:variant>
        <vt:i4>0</vt:i4>
      </vt:variant>
      <vt:variant>
        <vt:i4>5</vt:i4>
      </vt:variant>
      <vt:variant>
        <vt:lpwstr>https://archivio.pubblica.istruzione.it/normativa/2001/dm489_01.shtml</vt:lpwstr>
      </vt:variant>
      <vt:variant>
        <vt:lpwstr/>
      </vt:variant>
      <vt:variant>
        <vt:i4>2424928</vt:i4>
      </vt:variant>
      <vt:variant>
        <vt:i4>9</vt:i4>
      </vt:variant>
      <vt:variant>
        <vt:i4>0</vt:i4>
      </vt:variant>
      <vt:variant>
        <vt:i4>5</vt:i4>
      </vt:variant>
      <vt:variant>
        <vt:lpwstr>https://www.miur.gov.it/documents/20182/21192/Decreto+legislativo+297+del+1994/377c571e-be98-44c6-8b19-8ff786f4c92b?version=1.0</vt:lpwstr>
      </vt:variant>
      <vt:variant>
        <vt:lpwstr/>
      </vt:variant>
      <vt:variant>
        <vt:i4>589875</vt:i4>
      </vt:variant>
      <vt:variant>
        <vt:i4>6</vt:i4>
      </vt:variant>
      <vt:variant>
        <vt:i4>0</vt:i4>
      </vt:variant>
      <vt:variant>
        <vt:i4>5</vt:i4>
      </vt:variant>
      <vt:variant>
        <vt:lpwstr>https://archivio.pubblica.istruzione.it/news/2006/allegati/legge104_92.pdf</vt:lpwstr>
      </vt:variant>
      <vt:variant>
        <vt:lpwstr/>
      </vt:variant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http://www.governo.it/it/costituzione-italiana/principi-fondamentali/2839</vt:lpwstr>
      </vt:variant>
      <vt:variant>
        <vt:lpwstr/>
      </vt:variant>
      <vt:variant>
        <vt:i4>851976</vt:i4>
      </vt:variant>
      <vt:variant>
        <vt:i4>0</vt:i4>
      </vt:variant>
      <vt:variant>
        <vt:i4>0</vt:i4>
      </vt:variant>
      <vt:variant>
        <vt:i4>5</vt:i4>
      </vt:variant>
      <vt:variant>
        <vt:lpwstr>http://www.governo.it/it/costituzione-italiana/principi-fondamentali/2839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Guadagni</dc:creator>
  <cp:lastModifiedBy>utente</cp:lastModifiedBy>
  <cp:revision>3</cp:revision>
  <dcterms:created xsi:type="dcterms:W3CDTF">2020-09-25T08:26:00Z</dcterms:created>
  <dcterms:modified xsi:type="dcterms:W3CDTF">2020-09-25T09:22:00Z</dcterms:modified>
</cp:coreProperties>
</file>